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C" w:rsidRDefault="005B3309">
      <w:pPr>
        <w:pStyle w:val="BodyText"/>
        <w:ind w:left="835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026863" cy="161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6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BCC" w:rsidRDefault="00187BCC">
      <w:pPr>
        <w:pStyle w:val="BodyText"/>
        <w:rPr>
          <w:sz w:val="20"/>
        </w:rPr>
      </w:pPr>
    </w:p>
    <w:p w:rsidR="00187BCC" w:rsidRDefault="00187BCC">
      <w:pPr>
        <w:pStyle w:val="BodyText"/>
        <w:rPr>
          <w:sz w:val="20"/>
        </w:rPr>
      </w:pPr>
    </w:p>
    <w:p w:rsidR="00187BCC" w:rsidRDefault="00187BCC">
      <w:pPr>
        <w:pStyle w:val="BodyText"/>
        <w:spacing w:before="3"/>
        <w:rPr>
          <w:sz w:val="17"/>
        </w:rPr>
      </w:pPr>
    </w:p>
    <w:p w:rsidR="00187BCC" w:rsidRDefault="00187BCC">
      <w:pPr>
        <w:pStyle w:val="BodyText"/>
        <w:rPr>
          <w:sz w:val="18"/>
        </w:rPr>
      </w:pPr>
    </w:p>
    <w:p w:rsidR="00187BCC" w:rsidRPr="00152971" w:rsidRDefault="005B3309" w:rsidP="00A32099">
      <w:pPr>
        <w:spacing w:before="90" w:line="244" w:lineRule="auto"/>
        <w:ind w:left="1725" w:right="1211" w:hanging="457"/>
        <w:rPr>
          <w:sz w:val="23"/>
          <w:u w:val="single"/>
        </w:rPr>
      </w:pPr>
      <w:r w:rsidRPr="00152971">
        <w:rPr>
          <w:sz w:val="23"/>
          <w:u w:val="single"/>
        </w:rPr>
        <w:t>Extension of promotional additional FUP Limit for</w:t>
      </w:r>
      <w:r w:rsidR="00152971" w:rsidRPr="00152971">
        <w:rPr>
          <w:sz w:val="23"/>
          <w:u w:val="single"/>
        </w:rPr>
        <w:t xml:space="preserve"> </w:t>
      </w:r>
      <w:proofErr w:type="gramStart"/>
      <w:r w:rsidRPr="00152971">
        <w:rPr>
          <w:sz w:val="23"/>
          <w:u w:val="single"/>
        </w:rPr>
        <w:t>FTTH  Plans</w:t>
      </w:r>
      <w:proofErr w:type="gramEnd"/>
      <w:r w:rsidRPr="00152971">
        <w:rPr>
          <w:sz w:val="23"/>
          <w:u w:val="single"/>
        </w:rPr>
        <w:t xml:space="preserve">  and  reopening  of existing FTH -1500 Plan for new booking by customers.</w:t>
      </w:r>
    </w:p>
    <w:p w:rsidR="00187BCC" w:rsidRPr="00152971" w:rsidRDefault="00187BCC" w:rsidP="00A32099">
      <w:pPr>
        <w:pStyle w:val="BodyText"/>
        <w:spacing w:before="10"/>
        <w:rPr>
          <w:sz w:val="21"/>
          <w:u w:val="single"/>
        </w:rPr>
      </w:pPr>
    </w:p>
    <w:p w:rsidR="00187BCC" w:rsidRDefault="00187BCC" w:rsidP="00A32099">
      <w:pPr>
        <w:pStyle w:val="BodyText"/>
        <w:rPr>
          <w:sz w:val="20"/>
        </w:rPr>
      </w:pPr>
    </w:p>
    <w:p w:rsidR="00187BCC" w:rsidRPr="00152971" w:rsidRDefault="005B3309" w:rsidP="00A32099">
      <w:pPr>
        <w:pStyle w:val="ListParagraph"/>
        <w:numPr>
          <w:ilvl w:val="1"/>
          <w:numId w:val="1"/>
        </w:numPr>
        <w:tabs>
          <w:tab w:val="left" w:pos="2008"/>
          <w:tab w:val="left" w:pos="2009"/>
        </w:tabs>
        <w:spacing w:line="281" w:lineRule="exact"/>
        <w:rPr>
          <w:b/>
        </w:rPr>
      </w:pPr>
      <w:r>
        <w:rPr>
          <w:w w:val="105"/>
        </w:rPr>
        <w:t xml:space="preserve">Extension of promotional additional FUP </w:t>
      </w:r>
      <w:r>
        <w:rPr>
          <w:b/>
          <w:w w:val="105"/>
        </w:rPr>
        <w:t xml:space="preserve">Limit </w:t>
      </w:r>
      <w:r>
        <w:rPr>
          <w:w w:val="105"/>
        </w:rPr>
        <w:t xml:space="preserve">for FTTH Plans </w:t>
      </w:r>
      <w:r>
        <w:rPr>
          <w:b/>
          <w:w w:val="105"/>
        </w:rPr>
        <w:t>for further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six</w:t>
      </w:r>
      <w:r w:rsidR="00152971">
        <w:rPr>
          <w:b/>
          <w:w w:val="105"/>
        </w:rPr>
        <w:t xml:space="preserve"> </w:t>
      </w:r>
      <w:r>
        <w:t xml:space="preserve">months </w:t>
      </w:r>
      <w:proofErr w:type="spellStart"/>
      <w:r>
        <w:t>w.e.f</w:t>
      </w:r>
      <w:proofErr w:type="spellEnd"/>
      <w:r>
        <w:t>.</w:t>
      </w:r>
      <w:r w:rsidR="00023CEA">
        <w:t xml:space="preserve"> 10March 2020 to 9</w:t>
      </w:r>
      <w:r w:rsidR="00152971">
        <w:t>September</w:t>
      </w:r>
      <w:r>
        <w:t>2020.</w:t>
      </w:r>
    </w:p>
    <w:p w:rsidR="00152971" w:rsidRDefault="00152971" w:rsidP="00A32099">
      <w:pPr>
        <w:pStyle w:val="Heading1"/>
        <w:spacing w:before="4" w:line="225" w:lineRule="auto"/>
        <w:ind w:left="1991" w:right="1211" w:firstLine="4"/>
        <w:rPr>
          <w:b/>
        </w:rPr>
      </w:pPr>
    </w:p>
    <w:p w:rsidR="00187BCC" w:rsidRDefault="00474042" w:rsidP="00A32099">
      <w:pPr>
        <w:pStyle w:val="Heading1"/>
        <w:spacing w:before="4" w:line="225" w:lineRule="auto"/>
        <w:ind w:left="1991" w:right="1211" w:firstLine="4"/>
      </w:pPr>
      <w:r w:rsidRPr="00474042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5.05pt;margin-top:51.35pt;width:473.95pt;height:103.9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94"/>
                    <w:gridCol w:w="1100"/>
                    <w:gridCol w:w="1009"/>
                    <w:gridCol w:w="1081"/>
                    <w:gridCol w:w="1177"/>
                    <w:gridCol w:w="1095"/>
                    <w:gridCol w:w="1191"/>
                    <w:gridCol w:w="1215"/>
                  </w:tblGrid>
                  <w:tr w:rsidR="00187BCC">
                    <w:trPr>
                      <w:trHeight w:val="724"/>
                    </w:trPr>
                    <w:tc>
                      <w:tcPr>
                        <w:tcW w:w="1594" w:type="dxa"/>
                      </w:tcPr>
                      <w:p w:rsidR="00187BCC" w:rsidRDefault="00187BC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187BCC" w:rsidRDefault="00C57049">
                        <w:pPr>
                          <w:pStyle w:val="TableParagraph"/>
                          <w:ind w:left="267"/>
                          <w:rPr>
                            <w:sz w:val="21"/>
                          </w:rPr>
                        </w:pPr>
                        <w:r>
                          <w:rPr>
                            <w:w w:val="120"/>
                            <w:sz w:val="21"/>
                          </w:rPr>
                          <w:t>Parti</w:t>
                        </w:r>
                        <w:r w:rsidR="005B3309">
                          <w:rPr>
                            <w:w w:val="120"/>
                            <w:sz w:val="21"/>
                          </w:rPr>
                          <w:t>culars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187BCC" w:rsidRDefault="00187BC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187BCC" w:rsidRDefault="005B3309">
                        <w:pPr>
                          <w:pStyle w:val="TableParagraph"/>
                          <w:ind w:right="150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>FTH-599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187BCC" w:rsidRPr="00D13FE6" w:rsidRDefault="00187BCC"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:rsidR="00187BCC" w:rsidRPr="00D13FE6" w:rsidRDefault="005B3309">
                        <w:pPr>
                          <w:pStyle w:val="TableParagraph"/>
                          <w:ind w:left="106" w:right="66"/>
                          <w:jc w:val="center"/>
                          <w:rPr>
                            <w:b/>
                            <w:sz w:val="21"/>
                          </w:rPr>
                        </w:pPr>
                        <w:r w:rsidRPr="00D13FE6">
                          <w:rPr>
                            <w:b/>
                            <w:sz w:val="21"/>
                          </w:rPr>
                          <w:t>FTH-777</w:t>
                        </w:r>
                      </w:p>
                    </w:tc>
                    <w:tc>
                      <w:tcPr>
                        <w:tcW w:w="1081" w:type="dxa"/>
                      </w:tcPr>
                      <w:p w:rsidR="00187BCC" w:rsidRPr="00D13FE6" w:rsidRDefault="00187BCC"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:rsidR="00187BCC" w:rsidRPr="00D13FE6" w:rsidRDefault="005B3309">
                        <w:pPr>
                          <w:pStyle w:val="TableParagraph"/>
                          <w:ind w:right="115"/>
                          <w:jc w:val="right"/>
                          <w:rPr>
                            <w:b/>
                            <w:sz w:val="21"/>
                          </w:rPr>
                        </w:pPr>
                        <w:r w:rsidRPr="00D13FE6">
                          <w:rPr>
                            <w:b/>
                            <w:w w:val="85"/>
                            <w:sz w:val="21"/>
                          </w:rPr>
                          <w:t>FTH-1111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187BCC" w:rsidRDefault="00187BC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187BCC" w:rsidRDefault="005B3309">
                        <w:pPr>
                          <w:pStyle w:val="TableParagraph"/>
                          <w:ind w:right="15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FTH-1500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187BCC" w:rsidRDefault="00187BC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187BCC" w:rsidRDefault="005B3309">
                        <w:pPr>
                          <w:pStyle w:val="TableParagraph"/>
                          <w:ind w:right="121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>FTH-Fire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187BCC" w:rsidRDefault="00187BC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187BCC" w:rsidRDefault="005B3309">
                        <w:pPr>
                          <w:pStyle w:val="TableParagraph"/>
                          <w:ind w:left="89" w:right="12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FTH-2990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187BCC" w:rsidRDefault="00187BC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187BCC" w:rsidRDefault="005B3309">
                        <w:pPr>
                          <w:pStyle w:val="TableParagraph"/>
                          <w:ind w:right="174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>FTH-4990</w:t>
                        </w:r>
                      </w:p>
                    </w:tc>
                  </w:tr>
                  <w:tr w:rsidR="00187BCC">
                    <w:trPr>
                      <w:trHeight w:val="378"/>
                    </w:trPr>
                    <w:tc>
                      <w:tcPr>
                        <w:tcW w:w="1594" w:type="dxa"/>
                      </w:tcPr>
                      <w:p w:rsidR="00187BCC" w:rsidRDefault="005B3309">
                        <w:pPr>
                          <w:pStyle w:val="TableParagraph"/>
                          <w:spacing w:before="39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FUP Limit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187BCC" w:rsidRDefault="00A32099">
                        <w:pPr>
                          <w:pStyle w:val="TableParagraph"/>
                          <w:spacing w:before="34"/>
                          <w:ind w:right="20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  <w:r w:rsidR="005B3309">
                          <w:rPr>
                            <w:sz w:val="23"/>
                          </w:rPr>
                          <w:t>50GB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187BCC" w:rsidRDefault="005B3309">
                        <w:pPr>
                          <w:pStyle w:val="TableParagraph"/>
                          <w:spacing w:before="34"/>
                          <w:ind w:left="88" w:right="6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400GB</w:t>
                        </w:r>
                      </w:p>
                    </w:tc>
                    <w:tc>
                      <w:tcPr>
                        <w:tcW w:w="1081" w:type="dxa"/>
                      </w:tcPr>
                      <w:p w:rsidR="00187BCC" w:rsidRDefault="005B3309">
                        <w:pPr>
                          <w:pStyle w:val="TableParagraph"/>
                          <w:spacing w:before="34"/>
                          <w:ind w:left="24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750GB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187BCC" w:rsidRDefault="005B3309">
                        <w:pPr>
                          <w:pStyle w:val="TableParagraph"/>
                          <w:spacing w:before="34"/>
                          <w:ind w:right="20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1200GB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187BCC" w:rsidRDefault="005B3309">
                        <w:pPr>
                          <w:pStyle w:val="TableParagraph"/>
                          <w:spacing w:before="34"/>
                          <w:ind w:right="15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1500GB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187BCC" w:rsidRDefault="005B3309">
                        <w:pPr>
                          <w:pStyle w:val="TableParagraph"/>
                          <w:spacing w:before="34"/>
                          <w:ind w:left="89" w:right="7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3000GB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187BCC" w:rsidRDefault="005B3309">
                        <w:pPr>
                          <w:pStyle w:val="TableParagraph"/>
                          <w:spacing w:before="34"/>
                          <w:ind w:right="23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6000GB</w:t>
                        </w:r>
                      </w:p>
                    </w:tc>
                  </w:tr>
                  <w:tr w:rsidR="00187BCC">
                    <w:trPr>
                      <w:trHeight w:val="714"/>
                    </w:trPr>
                    <w:tc>
                      <w:tcPr>
                        <w:tcW w:w="1594" w:type="dxa"/>
                      </w:tcPr>
                      <w:p w:rsidR="00187BCC" w:rsidRDefault="005B3309">
                        <w:pPr>
                          <w:pStyle w:val="TableParagraph"/>
                          <w:spacing w:line="206" w:lineRule="exact"/>
                          <w:ind w:left="118"/>
                        </w:pPr>
                        <w:r>
                          <w:t>Promotional</w:t>
                        </w:r>
                      </w:p>
                      <w:p w:rsidR="00187BCC" w:rsidRDefault="005B3309">
                        <w:pPr>
                          <w:pStyle w:val="TableParagraph"/>
                          <w:spacing w:before="6" w:line="228" w:lineRule="auto"/>
                          <w:ind w:left="107" w:right="39" w:firstLine="10"/>
                        </w:pPr>
                        <w:r>
                          <w:t>FUP Limit (for 6 months)</w:t>
                        </w:r>
                      </w:p>
                    </w:tc>
                    <w:tc>
                      <w:tcPr>
                        <w:tcW w:w="1100" w:type="dxa"/>
                      </w:tcPr>
                      <w:p w:rsidR="00187BCC" w:rsidRDefault="005B3309">
                        <w:pPr>
                          <w:pStyle w:val="TableParagraph"/>
                          <w:spacing w:before="202"/>
                          <w:ind w:right="205"/>
                          <w:jc w:val="right"/>
                        </w:pPr>
                        <w:r>
                          <w:t>200GB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187BCC" w:rsidRDefault="005B3309">
                        <w:pPr>
                          <w:pStyle w:val="TableParagraph"/>
                          <w:spacing w:before="202"/>
                          <w:ind w:left="79" w:right="66"/>
                          <w:jc w:val="center"/>
                        </w:pPr>
                        <w:r>
                          <w:t>500GB</w:t>
                        </w:r>
                      </w:p>
                    </w:tc>
                    <w:tc>
                      <w:tcPr>
                        <w:tcW w:w="1081" w:type="dxa"/>
                      </w:tcPr>
                      <w:p w:rsidR="00187BCC" w:rsidRDefault="00A32099">
                        <w:pPr>
                          <w:pStyle w:val="TableParagraph"/>
                          <w:spacing w:before="202"/>
                          <w:ind w:right="133"/>
                          <w:jc w:val="right"/>
                        </w:pPr>
                        <w:r>
                          <w:rPr>
                            <w:w w:val="75"/>
                          </w:rPr>
                          <w:t>1</w:t>
                        </w:r>
                        <w:r w:rsidR="005B3309">
                          <w:rPr>
                            <w:w w:val="75"/>
                          </w:rPr>
                          <w:t>OOOGB‘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187BCC" w:rsidRDefault="005B3309">
                        <w:pPr>
                          <w:pStyle w:val="TableParagraph"/>
                          <w:spacing w:before="202"/>
                          <w:ind w:right="208"/>
                          <w:jc w:val="right"/>
                        </w:pPr>
                        <w:r>
                          <w:rPr>
                            <w:w w:val="95"/>
                          </w:rPr>
                          <w:t>1500GB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187BCC" w:rsidRDefault="005B3309">
                        <w:pPr>
                          <w:pStyle w:val="TableParagraph"/>
                          <w:spacing w:before="202"/>
                          <w:ind w:right="173"/>
                          <w:jc w:val="right"/>
                        </w:pPr>
                        <w:r>
                          <w:rPr>
                            <w:w w:val="95"/>
                          </w:rPr>
                          <w:t>2000GB</w:t>
                        </w:r>
                      </w:p>
                    </w:tc>
                    <w:tc>
                      <w:tcPr>
                        <w:tcW w:w="1191" w:type="dxa"/>
                      </w:tcPr>
                      <w:p w:rsidR="00187BCC" w:rsidRDefault="005B3309">
                        <w:pPr>
                          <w:pStyle w:val="TableParagraph"/>
                          <w:spacing w:before="202"/>
                          <w:ind w:left="89" w:right="89"/>
                          <w:jc w:val="center"/>
                        </w:pPr>
                        <w:r>
                          <w:t>4000GB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187BCC" w:rsidRDefault="005B3309">
                        <w:pPr>
                          <w:pStyle w:val="TableParagraph"/>
                          <w:spacing w:before="202"/>
                          <w:ind w:left="195"/>
                        </w:pPr>
                        <w:r>
                          <w:t>8000GB</w:t>
                        </w:r>
                      </w:p>
                    </w:tc>
                  </w:tr>
                </w:tbl>
                <w:p w:rsidR="00187BCC" w:rsidRDefault="00187B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B3309" w:rsidRPr="00152971">
        <w:rPr>
          <w:b/>
        </w:rPr>
        <w:t>The promotional additional FUP limit for seven FTTH plans is extended fo</w:t>
      </w:r>
      <w:r w:rsidR="00152971" w:rsidRPr="00152971">
        <w:rPr>
          <w:b/>
        </w:rPr>
        <w:t xml:space="preserve">r further Six months </w:t>
      </w:r>
      <w:proofErr w:type="spellStart"/>
      <w:r w:rsidR="00152971" w:rsidRPr="00152971">
        <w:rPr>
          <w:b/>
        </w:rPr>
        <w:t>w.e.f</w:t>
      </w:r>
      <w:proofErr w:type="spellEnd"/>
      <w:r w:rsidR="00152971" w:rsidRPr="00152971">
        <w:rPr>
          <w:b/>
        </w:rPr>
        <w:t>. 10</w:t>
      </w:r>
      <w:r w:rsidR="00023CEA">
        <w:rPr>
          <w:b/>
        </w:rPr>
        <w:t>March</w:t>
      </w:r>
      <w:r w:rsidR="00152971">
        <w:rPr>
          <w:b/>
        </w:rPr>
        <w:t>2020 to 9</w:t>
      </w:r>
      <w:r w:rsidR="00023CEA">
        <w:rPr>
          <w:b/>
        </w:rPr>
        <w:t>September</w:t>
      </w:r>
      <w:r w:rsidR="005B3309" w:rsidRPr="00152971">
        <w:rPr>
          <w:b/>
        </w:rPr>
        <w:t>2020 as</w:t>
      </w:r>
      <w:r w:rsidR="005B3309">
        <w:t xml:space="preserve"> </w:t>
      </w:r>
      <w:r w:rsidR="005B3309" w:rsidRPr="00152971">
        <w:rPr>
          <w:b/>
        </w:rPr>
        <w:t>mentioned below:</w:t>
      </w:r>
    </w:p>
    <w:p w:rsidR="00187BCC" w:rsidRDefault="00187BCC" w:rsidP="00A32099">
      <w:pPr>
        <w:pStyle w:val="BodyText"/>
        <w:rPr>
          <w:sz w:val="26"/>
        </w:rPr>
      </w:pPr>
    </w:p>
    <w:p w:rsidR="00187BCC" w:rsidRDefault="005B3309" w:rsidP="00A32099">
      <w:pPr>
        <w:spacing w:before="200"/>
        <w:ind w:left="102"/>
        <w:rPr>
          <w:sz w:val="21"/>
        </w:rPr>
      </w:pPr>
      <w:r>
        <w:rPr>
          <w:color w:val="494949"/>
          <w:w w:val="70"/>
          <w:sz w:val="21"/>
        </w:rPr>
        <w:t>!’</w:t>
      </w:r>
    </w:p>
    <w:p w:rsidR="00187BCC" w:rsidRDefault="00187BCC" w:rsidP="00A32099">
      <w:pPr>
        <w:pStyle w:val="BodyText"/>
        <w:rPr>
          <w:sz w:val="22"/>
        </w:rPr>
      </w:pPr>
    </w:p>
    <w:p w:rsidR="00187BCC" w:rsidRDefault="00187BCC" w:rsidP="00A32099">
      <w:pPr>
        <w:pStyle w:val="BodyText"/>
        <w:rPr>
          <w:sz w:val="22"/>
        </w:rPr>
      </w:pPr>
    </w:p>
    <w:p w:rsidR="00187BCC" w:rsidRDefault="00187BCC" w:rsidP="00A32099">
      <w:pPr>
        <w:pStyle w:val="BodyText"/>
        <w:rPr>
          <w:sz w:val="22"/>
        </w:rPr>
      </w:pPr>
    </w:p>
    <w:p w:rsidR="00187BCC" w:rsidRDefault="00187BCC" w:rsidP="00A32099">
      <w:pPr>
        <w:pStyle w:val="BodyText"/>
        <w:rPr>
          <w:sz w:val="22"/>
        </w:rPr>
      </w:pPr>
    </w:p>
    <w:p w:rsidR="00187BCC" w:rsidRDefault="00187BCC" w:rsidP="00A32099">
      <w:pPr>
        <w:pStyle w:val="BodyText"/>
        <w:spacing w:before="5"/>
        <w:rPr>
          <w:sz w:val="28"/>
        </w:rPr>
      </w:pPr>
    </w:p>
    <w:p w:rsidR="00187BCC" w:rsidRDefault="00A32099" w:rsidP="00A32099">
      <w:pPr>
        <w:pStyle w:val="Heading1"/>
      </w:pPr>
      <w:r>
        <w:t>Other terms &amp; conditions will r</w:t>
      </w:r>
      <w:r w:rsidR="005B3309">
        <w:t>emain same.</w:t>
      </w:r>
    </w:p>
    <w:p w:rsidR="00187BCC" w:rsidRDefault="005B3309" w:rsidP="00A32099">
      <w:pPr>
        <w:pStyle w:val="BodyText"/>
        <w:spacing w:line="261" w:lineRule="exact"/>
        <w:ind w:left="1737"/>
      </w:pPr>
      <w:r>
        <w:t xml:space="preserve">The scheme will be implemented </w:t>
      </w:r>
      <w:proofErr w:type="spellStart"/>
      <w:r>
        <w:t>w.e.f</w:t>
      </w:r>
      <w:proofErr w:type="spellEnd"/>
      <w:r>
        <w:t>. 10.03.2020 to 09.09.2020</w:t>
      </w:r>
    </w:p>
    <w:p w:rsidR="00187BCC" w:rsidRDefault="00187BCC" w:rsidP="00A32099">
      <w:pPr>
        <w:pStyle w:val="BodyText"/>
        <w:spacing w:before="1"/>
        <w:rPr>
          <w:sz w:val="22"/>
        </w:rPr>
      </w:pPr>
    </w:p>
    <w:p w:rsidR="00187BCC" w:rsidRDefault="005B3309" w:rsidP="00A32099">
      <w:pPr>
        <w:pStyle w:val="ListParagraph"/>
        <w:numPr>
          <w:ilvl w:val="1"/>
          <w:numId w:val="1"/>
        </w:numPr>
        <w:tabs>
          <w:tab w:val="left" w:pos="1871"/>
        </w:tabs>
        <w:spacing w:line="262" w:lineRule="exact"/>
        <w:ind w:left="1870" w:hanging="526"/>
        <w:rPr>
          <w:sz w:val="23"/>
        </w:rPr>
      </w:pPr>
      <w:r>
        <w:rPr>
          <w:sz w:val="23"/>
        </w:rPr>
        <w:t xml:space="preserve">Opening of </w:t>
      </w:r>
      <w:r>
        <w:rPr>
          <w:b/>
          <w:sz w:val="23"/>
        </w:rPr>
        <w:t xml:space="preserve">existing </w:t>
      </w:r>
      <w:r>
        <w:rPr>
          <w:sz w:val="23"/>
        </w:rPr>
        <w:t xml:space="preserve">FTH </w:t>
      </w:r>
      <w:r>
        <w:rPr>
          <w:b/>
          <w:sz w:val="23"/>
        </w:rPr>
        <w:t xml:space="preserve">-1500 </w:t>
      </w:r>
      <w:proofErr w:type="gramStart"/>
      <w:r>
        <w:rPr>
          <w:sz w:val="23"/>
        </w:rPr>
        <w:t>Plan</w:t>
      </w:r>
      <w:proofErr w:type="gramEnd"/>
      <w:r>
        <w:rPr>
          <w:sz w:val="23"/>
        </w:rPr>
        <w:t xml:space="preserve"> for new booking by</w:t>
      </w:r>
      <w:r>
        <w:rPr>
          <w:spacing w:val="-10"/>
          <w:sz w:val="23"/>
        </w:rPr>
        <w:t xml:space="preserve"> </w:t>
      </w:r>
      <w:r>
        <w:rPr>
          <w:sz w:val="23"/>
        </w:rPr>
        <w:t>customers.</w:t>
      </w:r>
    </w:p>
    <w:p w:rsidR="00A32099" w:rsidRDefault="00A32099" w:rsidP="00A32099">
      <w:pPr>
        <w:pStyle w:val="BodyText"/>
        <w:spacing w:line="239" w:lineRule="exact"/>
        <w:ind w:left="2015"/>
      </w:pPr>
    </w:p>
    <w:p w:rsidR="00187BCC" w:rsidRPr="00A32099" w:rsidRDefault="00A32099" w:rsidP="00A32099">
      <w:pPr>
        <w:pStyle w:val="BodyText"/>
        <w:spacing w:line="239" w:lineRule="exact"/>
        <w:ind w:left="2015"/>
        <w:rPr>
          <w:b/>
        </w:rPr>
      </w:pPr>
      <w:r w:rsidRPr="00A32099">
        <w:rPr>
          <w:b/>
        </w:rPr>
        <w:t>The closed existing F</w:t>
      </w:r>
      <w:r w:rsidR="005B3309" w:rsidRPr="00A32099">
        <w:rPr>
          <w:b/>
        </w:rPr>
        <w:t xml:space="preserve">TH -1500 </w:t>
      </w:r>
      <w:proofErr w:type="gramStart"/>
      <w:r w:rsidR="005B3309" w:rsidRPr="00A32099">
        <w:rPr>
          <w:b/>
        </w:rPr>
        <w:t>Plan</w:t>
      </w:r>
      <w:proofErr w:type="gramEnd"/>
      <w:r w:rsidR="005B3309" w:rsidRPr="00A32099">
        <w:rPr>
          <w:b/>
        </w:rPr>
        <w:t xml:space="preserve"> is reopen for new booking by customers.</w:t>
      </w:r>
    </w:p>
    <w:p w:rsidR="00187BCC" w:rsidRDefault="005B3309" w:rsidP="00A32099">
      <w:pPr>
        <w:pStyle w:val="Heading1"/>
        <w:spacing w:before="117"/>
        <w:ind w:left="1994"/>
      </w:pPr>
      <w:r>
        <w:t>Other terms &amp; conditions will remain same.</w:t>
      </w:r>
    </w:p>
    <w:p w:rsidR="00187BCC" w:rsidRDefault="005B3309" w:rsidP="00A32099">
      <w:pPr>
        <w:pStyle w:val="BodyText"/>
        <w:spacing w:line="261" w:lineRule="exact"/>
        <w:ind w:left="1929"/>
      </w:pPr>
      <w:r>
        <w:t>The scheme will be implemented with immediate effect.</w:t>
      </w:r>
    </w:p>
    <w:p w:rsidR="00187BCC" w:rsidRDefault="00187BCC" w:rsidP="00A32099">
      <w:pPr>
        <w:pStyle w:val="BodyText"/>
        <w:rPr>
          <w:sz w:val="24"/>
        </w:rPr>
      </w:pPr>
    </w:p>
    <w:p w:rsidR="00187BCC" w:rsidRDefault="00474042" w:rsidP="00A32099">
      <w:pPr>
        <w:pStyle w:val="BodyText"/>
        <w:rPr>
          <w:sz w:val="24"/>
        </w:rPr>
      </w:pPr>
      <w:r w:rsidRPr="00474042">
        <w:pict>
          <v:group id="_x0000_s1026" style="position:absolute;margin-left:504.55pt;margin-top:4.1pt;width:3.55pt;height:20.55pt;z-index:15729152;mso-position-horizontal-relative:page" coordorigin="8401,370" coordsize="1690,10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400;top:369;width:1661;height:1023">
              <v:imagedata r:id="rId6" o:title=""/>
            </v:shape>
            <v:shape id="_x0000_s1030" type="#_x0000_t75" style="position:absolute;left:8866;top:446;width:932;height:716">
              <v:imagedata r:id="rId7" o:title=""/>
            </v:shape>
            <v:shape id="_x0000_s1029" type="#_x0000_t75" style="position:absolute;left:8587;top:398;width:735;height:749">
              <v:imagedata r:id="rId8" o:title=""/>
            </v:shape>
            <v:shape id="_x0000_s1028" type="#_x0000_t75" style="position:absolute;left:9552;top:374;width:538;height:341">
              <v:imagedata r:id="rId9" o:title=""/>
            </v:shape>
            <v:shape id="_x0000_s1027" type="#_x0000_t202" style="position:absolute;left:8400;top:369;width:1690;height:1049" filled="f" stroked="f">
              <v:textbox inset="0,0,0,0">
                <w:txbxContent>
                  <w:p w:rsidR="00187BCC" w:rsidRPr="00152971" w:rsidRDefault="00187BCC" w:rsidP="00152971"/>
                </w:txbxContent>
              </v:textbox>
            </v:shape>
            <w10:wrap anchorx="page"/>
          </v:group>
        </w:pict>
      </w:r>
    </w:p>
    <w:p w:rsidR="00187BCC" w:rsidRDefault="00187BCC" w:rsidP="00A32099">
      <w:pPr>
        <w:pStyle w:val="BodyText"/>
        <w:spacing w:before="10"/>
        <w:rPr>
          <w:sz w:val="25"/>
        </w:rPr>
      </w:pPr>
    </w:p>
    <w:p w:rsidR="00187BCC" w:rsidRPr="00152971" w:rsidRDefault="00187BCC" w:rsidP="00A32099">
      <w:pPr>
        <w:spacing w:line="200" w:lineRule="exact"/>
        <w:ind w:left="64"/>
        <w:rPr>
          <w:sz w:val="18"/>
        </w:rPr>
      </w:pPr>
    </w:p>
    <w:sectPr w:rsidR="00187BCC" w:rsidRPr="00152971" w:rsidSect="00187BCC">
      <w:type w:val="continuous"/>
      <w:pgSz w:w="11900" w:h="16840"/>
      <w:pgMar w:top="120" w:right="160" w:bottom="0" w:left="80" w:header="720" w:footer="720" w:gutter="0"/>
      <w:cols w:num="2" w:space="720" w:equalWidth="0">
        <w:col w:w="8133" w:space="40"/>
        <w:col w:w="34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45D"/>
    <w:multiLevelType w:val="hybridMultilevel"/>
    <w:tmpl w:val="4E860168"/>
    <w:lvl w:ilvl="0" w:tplc="4718D8F6">
      <w:numFmt w:val="bullet"/>
      <w:lvlText w:val="&quot;"/>
      <w:lvlJc w:val="left"/>
      <w:pPr>
        <w:ind w:left="311" w:hanging="160"/>
      </w:pPr>
      <w:rPr>
        <w:rFonts w:ascii="Times New Roman" w:eastAsia="Times New Roman" w:hAnsi="Times New Roman" w:cs="Times New Roman" w:hint="default"/>
        <w:w w:val="70"/>
        <w:sz w:val="23"/>
        <w:szCs w:val="23"/>
        <w:lang w:val="en-US" w:eastAsia="en-US" w:bidi="ar-SA"/>
      </w:rPr>
    </w:lvl>
    <w:lvl w:ilvl="1" w:tplc="F65E1E00">
      <w:start w:val="1"/>
      <w:numFmt w:val="upperLetter"/>
      <w:lvlText w:val="(%2)."/>
      <w:lvlJc w:val="left"/>
      <w:pPr>
        <w:ind w:left="2008" w:hanging="634"/>
        <w:jc w:val="left"/>
      </w:pPr>
      <w:rPr>
        <w:rFonts w:hint="default"/>
        <w:spacing w:val="-1"/>
        <w:w w:val="101"/>
        <w:position w:val="3"/>
        <w:lang w:val="en-US" w:eastAsia="en-US" w:bidi="ar-SA"/>
      </w:rPr>
    </w:lvl>
    <w:lvl w:ilvl="2" w:tplc="615A262A">
      <w:start w:val="1"/>
      <w:numFmt w:val="decimal"/>
      <w:lvlText w:val="%3."/>
      <w:lvlJc w:val="left"/>
      <w:pPr>
        <w:ind w:left="1962" w:hanging="335"/>
        <w:jc w:val="left"/>
      </w:pPr>
      <w:rPr>
        <w:rFonts w:ascii="Times New Roman" w:eastAsia="Times New Roman" w:hAnsi="Times New Roman" w:cs="Times New Roman" w:hint="default"/>
        <w:w w:val="87"/>
        <w:sz w:val="18"/>
        <w:szCs w:val="18"/>
        <w:lang w:val="en-US" w:eastAsia="en-US" w:bidi="ar-SA"/>
      </w:rPr>
    </w:lvl>
    <w:lvl w:ilvl="3" w:tplc="828CD532">
      <w:numFmt w:val="bullet"/>
      <w:lvlText w:val="•"/>
      <w:lvlJc w:val="left"/>
      <w:pPr>
        <w:ind w:left="1957" w:hanging="335"/>
      </w:pPr>
      <w:rPr>
        <w:rFonts w:hint="default"/>
        <w:lang w:val="en-US" w:eastAsia="en-US" w:bidi="ar-SA"/>
      </w:rPr>
    </w:lvl>
    <w:lvl w:ilvl="4" w:tplc="9BA48298">
      <w:numFmt w:val="bullet"/>
      <w:lvlText w:val="•"/>
      <w:lvlJc w:val="left"/>
      <w:pPr>
        <w:ind w:left="1914" w:hanging="335"/>
      </w:pPr>
      <w:rPr>
        <w:rFonts w:hint="default"/>
        <w:lang w:val="en-US" w:eastAsia="en-US" w:bidi="ar-SA"/>
      </w:rPr>
    </w:lvl>
    <w:lvl w:ilvl="5" w:tplc="8C88C068">
      <w:numFmt w:val="bullet"/>
      <w:lvlText w:val="•"/>
      <w:lvlJc w:val="left"/>
      <w:pPr>
        <w:ind w:left="1871" w:hanging="335"/>
      </w:pPr>
      <w:rPr>
        <w:rFonts w:hint="default"/>
        <w:lang w:val="en-US" w:eastAsia="en-US" w:bidi="ar-SA"/>
      </w:rPr>
    </w:lvl>
    <w:lvl w:ilvl="6" w:tplc="E8185F0E">
      <w:numFmt w:val="bullet"/>
      <w:lvlText w:val="•"/>
      <w:lvlJc w:val="left"/>
      <w:pPr>
        <w:ind w:left="1828" w:hanging="335"/>
      </w:pPr>
      <w:rPr>
        <w:rFonts w:hint="default"/>
        <w:lang w:val="en-US" w:eastAsia="en-US" w:bidi="ar-SA"/>
      </w:rPr>
    </w:lvl>
    <w:lvl w:ilvl="7" w:tplc="FD8A2A18">
      <w:numFmt w:val="bullet"/>
      <w:lvlText w:val="•"/>
      <w:lvlJc w:val="left"/>
      <w:pPr>
        <w:ind w:left="1785" w:hanging="335"/>
      </w:pPr>
      <w:rPr>
        <w:rFonts w:hint="default"/>
        <w:lang w:val="en-US" w:eastAsia="en-US" w:bidi="ar-SA"/>
      </w:rPr>
    </w:lvl>
    <w:lvl w:ilvl="8" w:tplc="5BB0C1B8">
      <w:numFmt w:val="bullet"/>
      <w:lvlText w:val="•"/>
      <w:lvlJc w:val="left"/>
      <w:pPr>
        <w:ind w:left="1742" w:hanging="3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7BCC"/>
    <w:rsid w:val="00023CEA"/>
    <w:rsid w:val="000E244D"/>
    <w:rsid w:val="00152971"/>
    <w:rsid w:val="00187BCC"/>
    <w:rsid w:val="003A533B"/>
    <w:rsid w:val="00474042"/>
    <w:rsid w:val="00491D61"/>
    <w:rsid w:val="005B3309"/>
    <w:rsid w:val="00A32099"/>
    <w:rsid w:val="00A97302"/>
    <w:rsid w:val="00C57049"/>
    <w:rsid w:val="00D13FE6"/>
    <w:rsid w:val="00F3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7BC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87BCC"/>
    <w:pPr>
      <w:spacing w:line="272" w:lineRule="exact"/>
      <w:ind w:left="174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7BCC"/>
    <w:rPr>
      <w:sz w:val="23"/>
      <w:szCs w:val="23"/>
    </w:rPr>
  </w:style>
  <w:style w:type="paragraph" w:styleId="Title">
    <w:name w:val="Title"/>
    <w:basedOn w:val="Normal"/>
    <w:uiPriority w:val="1"/>
    <w:qFormat/>
    <w:rsid w:val="00187BCC"/>
    <w:pPr>
      <w:spacing w:before="123"/>
      <w:ind w:left="47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rsid w:val="00187BCC"/>
    <w:pPr>
      <w:spacing w:line="199" w:lineRule="exact"/>
      <w:ind w:left="311" w:hanging="338"/>
    </w:pPr>
  </w:style>
  <w:style w:type="paragraph" w:customStyle="1" w:styleId="TableParagraph">
    <w:name w:val="Table Paragraph"/>
    <w:basedOn w:val="Normal"/>
    <w:uiPriority w:val="1"/>
    <w:qFormat/>
    <w:rsid w:val="00187BCC"/>
  </w:style>
  <w:style w:type="paragraph" w:styleId="BalloonText">
    <w:name w:val="Balloon Text"/>
    <w:basedOn w:val="Normal"/>
    <w:link w:val="BalloonTextChar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coml. instruction no. B-04-2020</dc:title>
  <dc:subject>coml. instruction no. B-04-2020</dc:subject>
  <dc:creator>CamScanner</dc:creator>
  <cp:lastModifiedBy>Maninder</cp:lastModifiedBy>
  <cp:revision>8</cp:revision>
  <dcterms:created xsi:type="dcterms:W3CDTF">2020-03-27T09:48:00Z</dcterms:created>
  <dcterms:modified xsi:type="dcterms:W3CDTF">2020-03-27T10:07:00Z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2020-03-27T00:00:00Z</vt:filetime>
  </property>
</Properties>
</file>